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2C" w:rsidRPr="001D6247" w:rsidRDefault="006A7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результатах итогового сочинения (изложения) по русскому языку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№27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им.Ю.С.Кучиева</w:t>
      </w:r>
      <w:proofErr w:type="spellEnd"/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образования», Методическими рекомендациями по организации и проведению итогового сочинения (изложения)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году, направленными письмом 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28.10.2022 № 04-411</w:t>
      </w:r>
      <w:r w:rsidRPr="002C611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C6115">
        <w:rPr>
          <w:rFonts w:hAnsi="Times New Roman" w:cs="Times New Roman"/>
          <w:color w:val="000000"/>
          <w:sz w:val="24"/>
          <w:szCs w:val="24"/>
        </w:rPr>
        <w:t> </w:t>
      </w:r>
      <w:r w:rsidRPr="002C611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2C6115" w:rsidRPr="002C6115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</w:t>
      </w:r>
      <w:r w:rsidRPr="002C6115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2C6115" w:rsidRPr="002C6115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2C6115">
        <w:rPr>
          <w:rFonts w:hAnsi="Times New Roman" w:cs="Times New Roman"/>
          <w:color w:val="000000"/>
          <w:sz w:val="24"/>
          <w:szCs w:val="24"/>
          <w:lang w:val="ru-RU"/>
        </w:rPr>
        <w:t xml:space="preserve">.11.2022 № </w:t>
      </w:r>
      <w:r w:rsidR="002C6115" w:rsidRPr="002C6115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2C611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организации и проведении итогового сочинения (изложения)», </w:t>
      </w:r>
      <w:r w:rsidRPr="00611AB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 w:rsidR="002C6115" w:rsidRPr="00611AB5">
        <w:rPr>
          <w:rFonts w:hAnsi="Times New Roman" w:cs="Times New Roman"/>
          <w:color w:val="000000"/>
          <w:sz w:val="24"/>
          <w:szCs w:val="24"/>
          <w:lang w:val="ru-RU"/>
        </w:rPr>
        <w:t>СОШ №27</w:t>
      </w:r>
      <w:proofErr w:type="gramEnd"/>
      <w:r w:rsidR="002C6115" w:rsidRPr="00611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AB5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611AB5" w:rsidRPr="00611AB5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611AB5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611AB5" w:rsidRPr="00611AB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11AB5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611AB5">
        <w:rPr>
          <w:rFonts w:hAnsi="Times New Roman" w:cs="Times New Roman"/>
          <w:color w:val="000000"/>
          <w:sz w:val="24"/>
          <w:szCs w:val="24"/>
        </w:rPr>
        <w:t> </w:t>
      </w:r>
      <w:r w:rsidRPr="00611AB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611AB5" w:rsidRPr="00611AB5">
        <w:rPr>
          <w:rFonts w:hAnsi="Times New Roman" w:cs="Times New Roman"/>
          <w:color w:val="000000"/>
          <w:sz w:val="24"/>
          <w:szCs w:val="24"/>
          <w:lang w:val="ru-RU"/>
        </w:rPr>
        <w:t>267</w:t>
      </w:r>
      <w:r w:rsidRPr="00611AB5">
        <w:rPr>
          <w:rFonts w:hAnsi="Times New Roman" w:cs="Times New Roman"/>
          <w:color w:val="000000"/>
          <w:sz w:val="24"/>
          <w:szCs w:val="24"/>
          <w:lang w:val="ru-RU"/>
        </w:rPr>
        <w:t xml:space="preserve"> «О</w:t>
      </w:r>
      <w:r w:rsidRPr="002C611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проведении итогового сочинения»</w:t>
      </w:r>
      <w:r w:rsidRPr="002C6115">
        <w:rPr>
          <w:rFonts w:hAnsi="Times New Roman" w:cs="Times New Roman"/>
          <w:color w:val="000000"/>
          <w:sz w:val="24"/>
          <w:szCs w:val="24"/>
        </w:rPr>
        <w:t> </w:t>
      </w:r>
      <w:r w:rsidRPr="002C6115">
        <w:rPr>
          <w:rFonts w:hAnsi="Times New Roman" w:cs="Times New Roman"/>
          <w:color w:val="000000"/>
          <w:sz w:val="24"/>
          <w:szCs w:val="24"/>
          <w:lang w:val="ru-RU"/>
        </w:rPr>
        <w:t>07.12.2022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было проведено итоговое сочинение по русскому языку в 11-х классах.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проверить умение создавать собственное связное высказывание на заданную тему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 проведения: </w:t>
      </w:r>
      <w:r w:rsidR="00EE0F83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.12.2022.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комиссии: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учителя русского языка и литературы.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В написании итогового сочинения (изложения) по русскому языку участвовали </w:t>
      </w:r>
      <w:r w:rsidR="001D6247">
        <w:rPr>
          <w:rFonts w:hAnsi="Times New Roman" w:cs="Times New Roman"/>
          <w:color w:val="000000"/>
          <w:sz w:val="24"/>
          <w:szCs w:val="24"/>
          <w:lang w:val="ru-RU"/>
        </w:rPr>
        <w:t>29(из 31)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обучающихся 11-х классов, что составило 9</w:t>
      </w:r>
      <w:r w:rsid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3,5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от общего количества.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Анализ результата проверки по требованиям и критериям итогового сочинения (изложения) обучающихся 11-х классов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8"/>
        <w:gridCol w:w="2850"/>
        <w:gridCol w:w="1510"/>
        <w:gridCol w:w="2246"/>
        <w:gridCol w:w="893"/>
      </w:tblGrid>
      <w:tr w:rsidR="00BF352C" w:rsidTr="00D5015E">
        <w:tc>
          <w:tcPr>
            <w:tcW w:w="33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F352C" w:rsidTr="00D5015E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№ 1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№ 2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52C" w:rsidTr="00D5015E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1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2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3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96,4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4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79,3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20,7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BF352C" w:rsidTr="00D5015E">
        <w:tc>
          <w:tcPr>
            <w:tcW w:w="1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BF352C" w:rsidP="006A752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52C" w:rsidRDefault="006A752E" w:rsidP="006A752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52C" w:rsidRPr="001D6247" w:rsidRDefault="001D6247" w:rsidP="006A752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таблицы 1 наглядно представлены в диаграмме 1.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 1. Результат проверки по требованиям и критериям итогового сочинения (изложения) обучающихся 11-х классов</w:t>
      </w:r>
    </w:p>
    <w:p w:rsidR="00BF352C" w:rsidRDefault="00B44499" w:rsidP="006A752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178425" cy="2911475"/>
            <wp:effectExtent l="0" t="0" r="2222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Представленные выше таблица и диаграмма позволяют увидеть, что все обучающиеся 11-х классов, которые присутствовали на испытании, получили «зачет» за работу.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Комплекты тем итогового сочинения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формировались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из закрытого банка тем итогового сочинения. Он включает более полутора тысяч тем сочинений прошлых лет.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В каждый комплект тем итогового сочинения были включены по две темы из каждого раздела банка:</w:t>
      </w:r>
    </w:p>
    <w:p w:rsidR="00BF352C" w:rsidRPr="001D6247" w:rsidRDefault="006A752E" w:rsidP="006A752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темы 1, 2 «Духовно-нравственные ориентиры в жизни человека»;</w:t>
      </w:r>
    </w:p>
    <w:p w:rsidR="00BF352C" w:rsidRPr="001D6247" w:rsidRDefault="006A752E" w:rsidP="006A752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темы 3, 4 «Семья, общество, Отечество в жизни человека»;</w:t>
      </w:r>
    </w:p>
    <w:p w:rsidR="00BF352C" w:rsidRPr="001D6247" w:rsidRDefault="006A752E" w:rsidP="006A752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темы 5, 6 «Природа и культура в жизни человека».</w:t>
      </w:r>
    </w:p>
    <w:p w:rsidR="00BF352C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Темы, включенные в раздел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«Духовно-нравственные ориентиры в жизни человека», связаны с вопросами, которые человек задает себе сам, в том числе в ситуации нравственного выбора.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F352C" w:rsidRPr="001D6247" w:rsidRDefault="006A752E" w:rsidP="006A752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BF352C" w:rsidRPr="001D6247" w:rsidRDefault="006A752E" w:rsidP="006A752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BF352C" w:rsidRPr="001D6247" w:rsidRDefault="006A752E" w:rsidP="006A752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позволяют задуматься об образе жизни человека, о выборе им жизненного пути, значимой цели и средствах ее достижения, любви и дружбе; </w:t>
      </w:r>
    </w:p>
    <w:p w:rsidR="00BF352C" w:rsidRPr="001D6247" w:rsidRDefault="006A752E" w:rsidP="006A752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побуждают к самоанализу, осмыслению опыта других людей (или поступков литературных героев), стремящихся понять себя.</w:t>
      </w:r>
    </w:p>
    <w:p w:rsidR="00BF352C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Темы раздела 2 «Семья, общество, Отечество в жизни человека» связаны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взглядом на человека как представителя семьи, социума, народа, поколения, эпохи.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F352C" w:rsidRPr="001D6247" w:rsidRDefault="006A752E" w:rsidP="006A752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BF352C" w:rsidRPr="001D6247" w:rsidRDefault="006A752E" w:rsidP="006A752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BF352C" w:rsidRPr="001D6247" w:rsidRDefault="006A752E" w:rsidP="006A752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позволяют задуматься о славе и бесславии, личном и общественном, своем вкладе в общественный прогресс; </w:t>
      </w:r>
    </w:p>
    <w:p w:rsidR="00BF352C" w:rsidRPr="001D6247" w:rsidRDefault="006A752E" w:rsidP="006A752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</w:t>
      </w:r>
    </w:p>
    <w:p w:rsidR="00BF352C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В раздел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«Природа и культура в жизни человека» включены темы,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связаны с философскими, социальными, этическими, эстетическими проблемами, вопросами экологии.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F352C" w:rsidRPr="001D6247" w:rsidRDefault="006A752E" w:rsidP="006A752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BF352C" w:rsidRPr="001D6247" w:rsidRDefault="006A752E" w:rsidP="006A752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:rsidR="00BF352C" w:rsidRPr="001D6247" w:rsidRDefault="006A752E" w:rsidP="006A752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позволяют осмысливать роль культуры в жизни человека, важность исторической памяти, сохранения традиционных ценностей; </w:t>
      </w:r>
    </w:p>
    <w:p w:rsidR="00BF352C" w:rsidRPr="001D6247" w:rsidRDefault="006A752E" w:rsidP="006A752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Обучающимся был предложен следующий комплект тем сочинений для проведения итогового сочинения в текущем учебном году в </w:t>
      </w:r>
      <w:r w:rsid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Республике </w:t>
      </w:r>
      <w:proofErr w:type="gramStart"/>
      <w:r w:rsidR="001D6247">
        <w:rPr>
          <w:rFonts w:hAnsi="Times New Roman" w:cs="Times New Roman"/>
          <w:color w:val="000000"/>
          <w:sz w:val="24"/>
          <w:szCs w:val="24"/>
          <w:lang w:val="ru-RU"/>
        </w:rPr>
        <w:t>Северная</w:t>
      </w:r>
      <w:proofErr w:type="gramEnd"/>
      <w:r w:rsid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6247">
        <w:rPr>
          <w:rFonts w:hAnsi="Times New Roman" w:cs="Times New Roman"/>
          <w:color w:val="000000"/>
          <w:sz w:val="24"/>
          <w:szCs w:val="24"/>
          <w:lang w:val="ru-RU"/>
        </w:rPr>
        <w:t>Осетия-Алпния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499" w:rsidRDefault="00B44499" w:rsidP="006A752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B44499">
        <w:rPr>
          <w:b/>
          <w:bCs/>
        </w:rPr>
        <w:t>Комплект тем итогового сочинения</w:t>
      </w:r>
      <w:r>
        <w:rPr>
          <w:b/>
          <w:bCs/>
        </w:rPr>
        <w:t xml:space="preserve"> </w:t>
      </w:r>
      <w:r w:rsidRPr="00B44499">
        <w:rPr>
          <w:b/>
          <w:bCs/>
        </w:rPr>
        <w:t>№ ИС07122022-07</w:t>
      </w:r>
    </w:p>
    <w:p w:rsidR="00B44499" w:rsidRPr="00B44499" w:rsidRDefault="00B44499" w:rsidP="006A752E">
      <w:pPr>
        <w:pStyle w:val="a5"/>
        <w:spacing w:before="0" w:beforeAutospacing="0" w:after="0" w:afterAutospacing="0"/>
        <w:jc w:val="both"/>
        <w:rPr>
          <w:b/>
          <w:bCs/>
        </w:rPr>
      </w:pPr>
    </w:p>
    <w:tbl>
      <w:tblPr>
        <w:tblStyle w:val="a6"/>
        <w:tblW w:w="9838" w:type="dxa"/>
        <w:tblInd w:w="0" w:type="dxa"/>
        <w:tblLook w:val="00A0"/>
      </w:tblPr>
      <w:tblGrid>
        <w:gridCol w:w="1531"/>
        <w:gridCol w:w="8307"/>
      </w:tblGrid>
      <w:tr w:rsidR="00B44499" w:rsidRPr="00B44499" w:rsidTr="00B44499">
        <w:trPr>
          <w:trHeight w:val="25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B44499">
              <w:rPr>
                <w:b/>
                <w:bCs/>
                <w:sz w:val="26"/>
                <w:szCs w:val="26"/>
              </w:rPr>
              <w:t xml:space="preserve">НОМЕР 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99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B44499" w:rsidRPr="00611AB5" w:rsidTr="00B44499">
        <w:trPr>
          <w:trHeight w:val="2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</w:rPr>
              <w:t>Какую жизненную цель можно назвать благородной?</w:t>
            </w:r>
          </w:p>
        </w:tc>
      </w:tr>
      <w:tr w:rsidR="00B44499" w:rsidRPr="00B44499" w:rsidTr="00B44499">
        <w:trPr>
          <w:trHeight w:val="2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взаимопонимание</w:t>
            </w:r>
            <w:proofErr w:type="spellEnd"/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B44499" w:rsidRPr="00611AB5" w:rsidTr="00B4449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</w:rPr>
              <w:t>Когда представитель старшего поколения становится настоящим авторитетом для молодежи?</w:t>
            </w:r>
          </w:p>
        </w:tc>
      </w:tr>
      <w:tr w:rsidR="00B44499" w:rsidRPr="00611AB5" w:rsidTr="00B4449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</w:rPr>
              <w:t>В чём ценность исторического опыта?</w:t>
            </w:r>
          </w:p>
        </w:tc>
      </w:tr>
      <w:tr w:rsidR="00B44499" w:rsidRPr="00611AB5" w:rsidTr="00B44499">
        <w:trPr>
          <w:trHeight w:val="2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</w:rPr>
              <w:t>Почему достижения прогресса, дающие человеку удобства и комфорт, могут быть опасны для человечества?</w:t>
            </w:r>
          </w:p>
        </w:tc>
      </w:tr>
      <w:tr w:rsidR="00B44499" w:rsidRPr="00611AB5" w:rsidTr="00B44499">
        <w:trPr>
          <w:trHeight w:val="2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B44499" w:rsidRPr="00B44499" w:rsidRDefault="00B44499" w:rsidP="006A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9">
              <w:rPr>
                <w:rFonts w:ascii="Times New Roman" w:hAnsi="Times New Roman" w:cs="Times New Roman"/>
                <w:sz w:val="24"/>
                <w:szCs w:val="24"/>
              </w:rPr>
              <w:t>Что делает человека подлинно счастливым?</w:t>
            </w:r>
          </w:p>
        </w:tc>
      </w:tr>
    </w:tbl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Сочинение выбрали </w:t>
      </w:r>
      <w:r w:rsidR="00544473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B44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  <w:r w:rsidR="00B444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Изложение не писал никто.</w:t>
      </w:r>
    </w:p>
    <w:p w:rsidR="006A752E" w:rsidRDefault="006A752E" w:rsidP="006A752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752E" w:rsidRDefault="006A752E" w:rsidP="006A752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752E" w:rsidRDefault="006A752E" w:rsidP="006A752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Диаграмма 2. Выбор тем итогового сочинения выпускниками 11-го класса</w:t>
      </w:r>
    </w:p>
    <w:p w:rsidR="00BF352C" w:rsidRPr="001D6247" w:rsidRDefault="00E03240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00650" cy="2651125"/>
            <wp:effectExtent l="0" t="0" r="1905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52C" w:rsidRDefault="00BF352C" w:rsidP="006A752E">
      <w:pPr>
        <w:jc w:val="both"/>
      </w:pP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Из диаграммы видно, что 10 </w:t>
      </w:r>
      <w:proofErr w:type="gram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тему № </w:t>
      </w:r>
      <w:r w:rsidR="00E03240">
        <w:rPr>
          <w:rFonts w:hAnsi="Times New Roman" w:cs="Times New Roman"/>
          <w:color w:val="000000"/>
          <w:sz w:val="24"/>
          <w:szCs w:val="24"/>
          <w:lang w:val="ru-RU"/>
        </w:rPr>
        <w:t>102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. Самая непопулярная тема – № </w:t>
      </w:r>
      <w:r w:rsidR="00E03240">
        <w:rPr>
          <w:rFonts w:hAnsi="Times New Roman" w:cs="Times New Roman"/>
          <w:color w:val="000000"/>
          <w:sz w:val="24"/>
          <w:szCs w:val="24"/>
          <w:lang w:val="ru-RU"/>
        </w:rPr>
        <w:t>409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, ее </w:t>
      </w:r>
      <w:r w:rsidR="00E03240">
        <w:rPr>
          <w:rFonts w:hAnsi="Times New Roman" w:cs="Times New Roman"/>
          <w:color w:val="000000"/>
          <w:sz w:val="24"/>
          <w:szCs w:val="24"/>
          <w:lang w:val="ru-RU"/>
        </w:rPr>
        <w:t>не выбрал никто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Чаще всего обучающиеся выбирали темы из раздела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09581E"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«Духовно-нравственные ориентиры в жизни человека»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темы этого раздела выбрали 1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Темы из раздела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«Природа и культура в жизни человека» выбрали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09581E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раздела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581E" w:rsidRPr="001D6247">
        <w:rPr>
          <w:rFonts w:hAnsi="Times New Roman" w:cs="Times New Roman"/>
          <w:color w:val="000000"/>
          <w:sz w:val="24"/>
          <w:szCs w:val="24"/>
          <w:lang w:val="ru-RU"/>
        </w:rPr>
        <w:t>«Семья, общество, Отечество в жизни человека»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выбрали 3 человека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Работы проверялись в соответствии с критериями оценивания, утвержденными Федеральной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службой по надзору в сфере образования и науки.</w:t>
      </w:r>
    </w:p>
    <w:p w:rsidR="00BF352C" w:rsidRPr="001D6247" w:rsidRDefault="006A752E" w:rsidP="006A7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оценивания</w:t>
      </w:r>
      <w:r>
        <w:rPr>
          <w:lang w:val="ru-RU"/>
        </w:rPr>
        <w:t xml:space="preserve"> 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 сочинения организациями,</w:t>
      </w:r>
      <w:r>
        <w:rPr>
          <w:lang w:val="ru-RU"/>
        </w:rPr>
        <w:t xml:space="preserve"> 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реализующими образовательные программы среднего общего образования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Требование № 1. Объем итогового сочинения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Рекомендуемое количество слов – от 350.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Требование № 2. Самостоятельность написания итогового сочинения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текста (работа другого участника, текст, опубликованный в бумажном и (или) электронном виде, и др.).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объема собственного текста участника.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352C" w:rsidRPr="001D6247" w:rsidRDefault="006A752E" w:rsidP="006A7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сочинение, соответствующее установленным требованиям, оценивается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критериям:</w:t>
      </w:r>
      <w:r w:rsidRPr="001D6247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теме.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2. Аргументация. Привлечение литературного материала.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3. Композиция и логика рассуждения.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4. Качество письменной речи.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5. Грамотность.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Критерии № 1 и № 2 являются основными.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1. Соответствие теме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содержания сочинения.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п.).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2. Аргументация. Привлечение литературного материала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«Незачет» ставится при условии, если сочинение написано без привлечения литературного материала,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или в нем </w:t>
      </w:r>
      <w:proofErr w:type="gram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существенно искажено</w:t>
      </w:r>
      <w:proofErr w:type="gram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3. Композиция и логика рассуждения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«Незачет» ставится, если грубые логические нарушения мешают пониманию смысла сказанного или отсутствует 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тезисно-доказательная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часть. Во всех остальных случаях выставляется «зачет».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4. Качество письменной речи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речевого оформления текста сочинения.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выставляется «зачет».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5. «Грамотность»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позволяет оценить грамотность выпускника.</w:t>
      </w:r>
    </w:p>
    <w:p w:rsidR="0009581E" w:rsidRPr="006A752E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lang w:val="ru-RU"/>
        </w:rPr>
        <w:t xml:space="preserve"> 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«Соответствие теме»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Критерий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аргументированно раскрыть.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 этой задачей справились все обучающиеся на 100 процентов. 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размышлений.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lang w:val="ru-RU"/>
        </w:rPr>
        <w:t xml:space="preserve"> 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«Аргументация. Привлечение литературного материала»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работ показал, что все учащиеся построили свои рассуждения на основе литературного материала. Большинство из них привело в качестве доказательств не менее двух произведений.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По критерию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2 «зачет» получили 100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обучающихся 11-х классов.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Анализ сочинений по критерию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lang w:val="ru-RU"/>
        </w:rPr>
        <w:t xml:space="preserve"> 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«Композиция и логика рассуждения»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логично выстраивать рассуждение на предложенную тему, выдерживать композиционное единство сочинения-рассуждения смогла продемонстрировать большая часть выпускников. Грубых логических ошибок, мешающих пониманию смысла высказывания, в работах участников сочинения не отмечено. Работы учащихся отличаются целостностью, стройностью композиции: вступление, 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тезисно-доказательная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часть, заключение тесно связаны между собой. Получили «зачет» по этому критерию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96,4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выпускников.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lang w:val="ru-RU"/>
        </w:rPr>
        <w:t xml:space="preserve"> 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«Качество письменной речи»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Подавляющее большинство учащихся владеет навыком построения сочинения-рассуждения, не допускает ошибок в композиции и логике высказывания, умеет грамотно использовать литературоведческие термины в соответствии с коммуникативным замыслом высказывания.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«Зачет» по данному критерию получили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79,3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обучающихся 11-х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F352C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К недостаткам по данному критерию можно отнести следующие: отдельные работы демонстрируют примитивность письменной речи, однообразие синтаксических конструкций, низкий уровень речевой грамотности, неточность изложения фактического материала.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Наиболее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речевые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F352C" w:rsidRDefault="006A752E" w:rsidP="006A752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неудачное словоупотребление;</w:t>
      </w:r>
    </w:p>
    <w:p w:rsidR="00BF352C" w:rsidRPr="001D6247" w:rsidRDefault="006A752E" w:rsidP="006A752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употребление слов в несвойственных им значениях;</w:t>
      </w:r>
    </w:p>
    <w:p w:rsidR="00BF352C" w:rsidRDefault="006A752E" w:rsidP="006A752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тавтология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352C" w:rsidRPr="001D6247" w:rsidRDefault="006A752E" w:rsidP="006A752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лексическая избыточность (неоправданное усложнение фраз).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lang w:val="ru-RU"/>
        </w:rPr>
        <w:t xml:space="preserve"> </w:t>
      </w: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«Грамотность»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Экспертами комиссий отмечен низкий уровень грамотности в ряде работ участников итогового сочинения.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Получили «незачет» (то есть допустили более пяти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ошибок на 100 слов) по данному критерию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половина обучающихся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% от общего количества участников итогового сочинения (изложения)).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Типичные орфографические ошибки, допущенные учащимися:</w:t>
      </w:r>
    </w:p>
    <w:p w:rsidR="00BF352C" w:rsidRPr="001D6247" w:rsidRDefault="006A752E" w:rsidP="006A752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НЕ с разными частями речи;</w:t>
      </w:r>
    </w:p>
    <w:p w:rsidR="00BF352C" w:rsidRPr="001D6247" w:rsidRDefault="006A752E" w:rsidP="006A752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ошибки в написании производных союзов;</w:t>
      </w:r>
    </w:p>
    <w:p w:rsidR="00BF352C" w:rsidRDefault="006A752E" w:rsidP="006A752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352C" w:rsidRPr="001D6247" w:rsidRDefault="006A752E" w:rsidP="006A752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ошибки в построении предложения с однородными членами, с деепричастными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причастными оборотами;</w:t>
      </w:r>
    </w:p>
    <w:p w:rsidR="00BF352C" w:rsidRPr="001D6247" w:rsidRDefault="006A752E" w:rsidP="006A752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написание усилительной частицы НИ и др.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Типичные пунктуационные ошибки, допущенные учащимися: наиболее частые ошибки связаны с темами «Пунктуация в предложениях с вводными конструкциями, с однородными членами», «Пунктуация в предложениях с обособленными второстепенными членами», «Пунктуация в сложных предложениях, состоящих из нескольких частей».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Типичные грамматические ошибки, допущенные учащимися:</w:t>
      </w:r>
    </w:p>
    <w:p w:rsidR="00BF352C" w:rsidRDefault="006A752E" w:rsidP="006A75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352C" w:rsidRPr="001D6247" w:rsidRDefault="006A752E" w:rsidP="006A75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ошибки в построении предложения с однородными членами, с деепричастными и причастными оборотами;</w:t>
      </w:r>
    </w:p>
    <w:p w:rsidR="00BF352C" w:rsidRPr="001D6247" w:rsidRDefault="006A752E" w:rsidP="006A75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нарушение границ предложения; неоправданный пропуск подлежащего;</w:t>
      </w:r>
    </w:p>
    <w:p w:rsidR="00BF352C" w:rsidRPr="001D6247" w:rsidRDefault="006A752E" w:rsidP="006A752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объединение синтаксической связью разнотипных синтаксических единиц.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В отдельную категорию выделяются графические ошибки, то есть различные описки, вызванные невнимательностью пишущего или поспешностью написания. Например, неправильное написание, искажающее звуковой облик слова («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рапотает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» вместо «работает»,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мемля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» вместо «земля»). Эти ошибки связаны с графикой, то есть средствами письменности данного языка, фиксирующими отношения между буквами на письме и звуками устной речи. К графическим средствам, помимо букв, относятся различные приемы сокращения слов,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использование пробелов между словами, различные подчеркивания и шрифтовые выделения.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Одиночные графические ошибки не учитываются при проверке, но если таких ошибок больше пяти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на 100 слов, то работу следует признать неграмотной.</w:t>
      </w:r>
    </w:p>
    <w:p w:rsidR="0009581E" w:rsidRDefault="0009581E" w:rsidP="006A752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В написании итогового сочинения (изложения) по русскому языку участвовали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 xml:space="preserve">29 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обучающихся 11-х классов, что составило 9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3,5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от общего количества выпускников. Все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справились с испытанием и получили «зачет»</w:t>
      </w:r>
    </w:p>
    <w:p w:rsidR="00BF352C" w:rsidRPr="001D6247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BF352C" w:rsidRPr="001D6247" w:rsidRDefault="006A752E" w:rsidP="006A7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1. Администрации МБОУ </w:t>
      </w:r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СОШ №27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1.1. Усилить контроль работы, ориентированной на высокие результаты подготовки выпускников к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1.2. Усилить </w:t>
      </w:r>
      <w:proofErr w:type="spell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работы по индивидуальным образовательным маршрутам выпускников с низкой мотивацией и выпускников, способных достичь максимального результата на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1.3. Организовать методическую поддержку учителей русского языка и литературы в подготовке высокомотивированных выпускников.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1.4. Проанализировать на методических совещаниях причины допущенных ошибок, внести соответствующие коррективы в дорожную карту подготовки обучающихся к ГИА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1.5. Довести результаты итогового сочинения (изложения) до сведения родителей Срок: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до 30.12.2022.</w:t>
      </w:r>
    </w:p>
    <w:p w:rsidR="00BF352C" w:rsidRPr="001D6247" w:rsidRDefault="006A752E" w:rsidP="006A7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bookmarkStart w:id="0" w:name="_GoBack"/>
      <w:bookmarkEnd w:id="0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Учителям русского языка и литературы: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2.1. Усилить контроль результативности освоения выпускниками программы, продолжить работу по индивидуальным образовательным маршрутам по подготовке к ГИА-11 по русскому языку.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2.2.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</w:t>
      </w:r>
      <w:proofErr w:type="gramStart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чувствовать подтекст.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1D6247">
        <w:rPr>
          <w:lang w:val="ru-RU"/>
        </w:rPr>
        <w:br/>
      </w: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>2.4.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Срок: постоянно.</w:t>
      </w:r>
    </w:p>
    <w:p w:rsidR="0009581E" w:rsidRDefault="0009581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581E" w:rsidRDefault="0009581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52C" w:rsidRPr="0009581E" w:rsidRDefault="006A752E" w:rsidP="006A75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24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Исполнитель: заместитель директора </w:t>
      </w:r>
      <w:proofErr w:type="spellStart"/>
      <w:r w:rsidR="0009581E">
        <w:rPr>
          <w:rFonts w:hAnsi="Times New Roman" w:cs="Times New Roman"/>
          <w:color w:val="000000"/>
          <w:sz w:val="24"/>
          <w:szCs w:val="24"/>
          <w:lang w:val="ru-RU"/>
        </w:rPr>
        <w:t>Ломовцева</w:t>
      </w:r>
      <w:proofErr w:type="spellEnd"/>
      <w:r w:rsidR="0009581E">
        <w:rPr>
          <w:rFonts w:hAnsi="Times New Roman" w:cs="Times New Roman"/>
          <w:color w:val="000000"/>
          <w:sz w:val="24"/>
          <w:szCs w:val="24"/>
          <w:lang w:val="ru-RU"/>
        </w:rPr>
        <w:t xml:space="preserve"> С.В.</w:t>
      </w:r>
    </w:p>
    <w:sectPr w:rsidR="00BF352C" w:rsidRPr="0009581E" w:rsidSect="006A752E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E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07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82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C6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66A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A63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F6A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581E"/>
    <w:rsid w:val="001D6247"/>
    <w:rsid w:val="002C6115"/>
    <w:rsid w:val="002D33B1"/>
    <w:rsid w:val="002D3591"/>
    <w:rsid w:val="003514A0"/>
    <w:rsid w:val="004F7E17"/>
    <w:rsid w:val="00544473"/>
    <w:rsid w:val="005A05CE"/>
    <w:rsid w:val="00611AB5"/>
    <w:rsid w:val="00653AF6"/>
    <w:rsid w:val="006A752E"/>
    <w:rsid w:val="00A8556D"/>
    <w:rsid w:val="00B44499"/>
    <w:rsid w:val="00B50BEB"/>
    <w:rsid w:val="00B73A5A"/>
    <w:rsid w:val="00BF352C"/>
    <w:rsid w:val="00D5015E"/>
    <w:rsid w:val="00E03240"/>
    <w:rsid w:val="00E438A1"/>
    <w:rsid w:val="00EE0F8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62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44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44499"/>
    <w:pPr>
      <w:spacing w:before="0" w:beforeAutospacing="0" w:after="0" w:afterAutospacing="0"/>
    </w:pPr>
    <w:rPr>
      <w:rFonts w:ascii="Calibri" w:eastAsia="Times New Roman" w:hAnsi="Calibri" w:cs="Calibri"/>
      <w:lang w:val="ru-R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62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44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44499"/>
    <w:pPr>
      <w:spacing w:before="0" w:beforeAutospacing="0" w:after="0" w:afterAutospacing="0"/>
    </w:pPr>
    <w:rPr>
      <w:rFonts w:ascii="Calibri" w:eastAsia="Times New Roman" w:hAnsi="Calibri" w:cs="Calibri"/>
      <w:lang w:val="ru-RU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Лист1!$B$23:$B$29</c:f>
              <c:strCache>
                <c:ptCount val="7"/>
                <c:pt idx="0">
                  <c:v>Требование № 1</c:v>
                </c:pt>
                <c:pt idx="1">
                  <c:v>Требование № 2</c:v>
                </c:pt>
                <c:pt idx="2">
                  <c:v>Критерий № 1</c:v>
                </c:pt>
                <c:pt idx="3">
                  <c:v>Критерий № 2</c:v>
                </c:pt>
                <c:pt idx="4">
                  <c:v>Критерий № 3</c:v>
                </c:pt>
                <c:pt idx="5">
                  <c:v>Критерий № 4</c:v>
                </c:pt>
                <c:pt idx="6">
                  <c:v>Критерий № 5</c:v>
                </c:pt>
              </c:strCache>
            </c:strRef>
          </c:cat>
          <c:val>
            <c:numRef>
              <c:f>Лист1!$C$23:$C$29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96.4</c:v>
                </c:pt>
                <c:pt idx="5">
                  <c:v>79.3</c:v>
                </c:pt>
                <c:pt idx="6">
                  <c:v>50</c:v>
                </c:pt>
              </c:numCache>
            </c:numRef>
          </c:val>
        </c:ser>
        <c:dLbls/>
        <c:axId val="77488128"/>
        <c:axId val="77489664"/>
      </c:barChart>
      <c:catAx>
        <c:axId val="77488128"/>
        <c:scaling>
          <c:orientation val="minMax"/>
        </c:scaling>
        <c:axPos val="b"/>
        <c:majorTickMark val="none"/>
        <c:tickLblPos val="nextTo"/>
        <c:crossAx val="77489664"/>
        <c:crosses val="autoZero"/>
        <c:auto val="1"/>
        <c:lblAlgn val="ctr"/>
        <c:lblOffset val="100"/>
      </c:catAx>
      <c:valAx>
        <c:axId val="77489664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crossAx val="774881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Лист1!$B$37</c:f>
              <c:strCache>
                <c:ptCount val="1"/>
                <c:pt idx="0">
                  <c:v>номер  темы</c:v>
                </c:pt>
              </c:strCache>
            </c:strRef>
          </c:tx>
          <c:dLbls>
            <c:showVal val="1"/>
          </c:dLbls>
          <c:cat>
            <c:numRef>
              <c:f>Лист1!$B$38:$B$43</c:f>
              <c:numCache>
                <c:formatCode>General</c:formatCode>
                <c:ptCount val="6"/>
                <c:pt idx="0">
                  <c:v>102</c:v>
                </c:pt>
                <c:pt idx="1">
                  <c:v>210</c:v>
                </c:pt>
                <c:pt idx="2">
                  <c:v>310</c:v>
                </c:pt>
                <c:pt idx="3">
                  <c:v>409</c:v>
                </c:pt>
                <c:pt idx="4">
                  <c:v>512</c:v>
                </c:pt>
                <c:pt idx="5">
                  <c:v>605</c:v>
                </c:pt>
              </c:numCache>
            </c:numRef>
          </c:cat>
          <c:val>
            <c:numRef>
              <c:f>Лист1!$C$38:$C$43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dLbls/>
        <c:axId val="37631104"/>
        <c:axId val="37632640"/>
      </c:barChart>
      <c:catAx>
        <c:axId val="37631104"/>
        <c:scaling>
          <c:orientation val="minMax"/>
        </c:scaling>
        <c:axPos val="b"/>
        <c:numFmt formatCode="General" sourceLinked="1"/>
        <c:tickLblPos val="nextTo"/>
        <c:crossAx val="37632640"/>
        <c:crosses val="autoZero"/>
        <c:auto val="1"/>
        <c:lblAlgn val="ctr"/>
        <c:lblOffset val="100"/>
      </c:catAx>
      <c:valAx>
        <c:axId val="37632640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37631104"/>
        <c:crosses val="autoZero"/>
        <c:crossBetween val="between"/>
        <c:majorUnit val="1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</cp:lastModifiedBy>
  <cp:revision>12</cp:revision>
  <cp:lastPrinted>2022-12-12T10:48:00Z</cp:lastPrinted>
  <dcterms:created xsi:type="dcterms:W3CDTF">2011-11-02T04:15:00Z</dcterms:created>
  <dcterms:modified xsi:type="dcterms:W3CDTF">2022-12-12T10:50:00Z</dcterms:modified>
</cp:coreProperties>
</file>