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b/>
          <w:color w:val="000000"/>
          <w:sz w:val="28"/>
          <w:szCs w:val="28"/>
        </w:rPr>
        <w:t>Анализ результатов ГИА учащихся 9-х классов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Одним из критериев эффективности учебного процесса являются результаты государственной итоговой аттестации. Основная задача, которую ставили перед собой учителя-предметники при подготовке к государственной итоговой аттестации выпускников, это: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достижение минимального порога по русскому и математике и одному предмету по выбору в виде контрольной работы и как следствие, получение аттестатов всеми выпускниками;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обеспечение качества подготовки к ОГЭ по предметам по выбору, обеспечивающее продолжение профильного образования после школы.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Для достижения этих задач были объединены усилия всего работающего педагогического состава, классных руководителей, администрации, родителей (законных представителей) учащихся.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учащихся 9-х классов к ГИА началась в сентябре 2020г. Был проведен цикл родительских собраний, посвященных ГИА, на которых администрация, учителя-предметники подробно знакомили всех участников образовательного процесса с нормативными документами, определяющими процедуру проведения ГИА, требованиями к ЗУН по предметам. В школе были организованы  </w:t>
      </w:r>
      <w:proofErr w:type="gram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курсы</w:t>
      </w:r>
      <w:proofErr w:type="gram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которых учащиеся могли дополнительно заниматься подготовкой к ОГЭ (русский язык </w:t>
      </w:r>
      <w:proofErr w:type="spell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Аршиева</w:t>
      </w:r>
      <w:proofErr w:type="spell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З.З.,</w:t>
      </w:r>
      <w:proofErr w:type="spell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Джидзалова</w:t>
      </w:r>
      <w:proofErr w:type="spell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Ж.А., математика </w:t>
      </w:r>
      <w:proofErr w:type="spell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Гогичашвили</w:t>
      </w:r>
      <w:proofErr w:type="spell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Д.И.) систематически проводили  консультации по обществознанию (</w:t>
      </w:r>
      <w:proofErr w:type="spell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Кумаллагова</w:t>
      </w:r>
      <w:proofErr w:type="spell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М.О.), </w:t>
      </w:r>
    </w:p>
    <w:p w:rsidR="00401E06" w:rsidRPr="005E57F2" w:rsidRDefault="00401E06" w:rsidP="00401E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5E5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«Об образовании в Российской Федерации» и Порядком проведения государственной итоговой аттестации по образовательным программам основного общего образования учащиеся 9- классов в количестве 64 приняли участие в государственной итоговой аттестации по 2 предметам в формате ОГЭ. Трое учащихся сдавали только 3 обязательных экзамена по русскому языку и математике (по медицинским показателям). К итоговой аттестации были допущены все учащихся 9А и 9Б класса.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В основные сроки сдачи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ОГЭ 24 учащихся 9А и 9Б  классов получили по одной неудовлетворительной отметке по предметам: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Математика – 15 уч-ся;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Русский язык – 9 уч-ся;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основных и дополнительных (июнь) сроков была сформирована таблица результатов сдачи ОГЭ. Из таблицы видено, что не преодолели минимальный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порог при сдаче ОГЭ по предмету Математика, н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еудовлетворительную отметку по этим двум предметам получила учащаяся 9А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государственной (итоговой) аттестации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выпускников 9-х классов в 2020/2021 учебном году.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741"/>
        <w:gridCol w:w="1822"/>
        <w:gridCol w:w="391"/>
        <w:gridCol w:w="391"/>
        <w:gridCol w:w="391"/>
        <w:gridCol w:w="390"/>
        <w:gridCol w:w="1796"/>
        <w:gridCol w:w="1227"/>
        <w:gridCol w:w="721"/>
      </w:tblGrid>
      <w:tr w:rsidR="00401E06" w:rsidRPr="005E57F2" w:rsidTr="0078607D">
        <w:trPr>
          <w:tblCellSpacing w:w="15" w:type="dxa"/>
        </w:trPr>
        <w:tc>
          <w:tcPr>
            <w:tcW w:w="178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6DDE8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1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6DDE8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сдав-х</w:t>
            </w:r>
          </w:p>
        </w:tc>
        <w:tc>
          <w:tcPr>
            <w:tcW w:w="154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6DDE8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от числа выпускников</w:t>
            </w:r>
          </w:p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допущенных к ГИА</w:t>
            </w:r>
          </w:p>
        </w:tc>
        <w:tc>
          <w:tcPr>
            <w:tcW w:w="1417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6DDE8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экзамена</w:t>
            </w:r>
          </w:p>
        </w:tc>
        <w:tc>
          <w:tcPr>
            <w:tcW w:w="1523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6DDE8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103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6DDE8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знаний</w:t>
            </w:r>
          </w:p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(%)</w:t>
            </w:r>
          </w:p>
        </w:tc>
        <w:tc>
          <w:tcPr>
            <w:tcW w:w="58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6DDE8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</w:t>
            </w:r>
            <w:proofErr w:type="gramStart"/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5E57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алл</w:t>
            </w:r>
          </w:p>
        </w:tc>
      </w:tr>
      <w:tr w:rsidR="00401E06" w:rsidRPr="005E57F2" w:rsidTr="0078607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01E06" w:rsidRPr="005E57F2" w:rsidRDefault="00401E06" w:rsidP="00786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01E06" w:rsidRPr="005E57F2" w:rsidRDefault="00401E06" w:rsidP="00786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401E06" w:rsidRPr="005E57F2" w:rsidRDefault="00401E06" w:rsidP="00786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01E06" w:rsidRPr="005E57F2" w:rsidRDefault="00401E06" w:rsidP="00786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01E06" w:rsidRPr="005E57F2" w:rsidRDefault="00401E06" w:rsidP="00786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401E06" w:rsidRPr="005E57F2" w:rsidRDefault="00401E06" w:rsidP="007860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E06" w:rsidRPr="005E57F2" w:rsidTr="0078607D">
        <w:trPr>
          <w:trHeight w:val="60"/>
          <w:tblCellSpacing w:w="15" w:type="dxa"/>
        </w:trPr>
        <w:tc>
          <w:tcPr>
            <w:tcW w:w="1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31849B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Русский язык</w:t>
            </w:r>
          </w:p>
        </w:tc>
        <w:tc>
          <w:tcPr>
            <w:tcW w:w="6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69,8</w:t>
            </w:r>
          </w:p>
        </w:tc>
        <w:tc>
          <w:tcPr>
            <w:tcW w:w="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DAEEF3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</w:tr>
      <w:tr w:rsidR="00401E06" w:rsidRPr="005E57F2" w:rsidTr="0078607D">
        <w:trPr>
          <w:trHeight w:val="60"/>
          <w:tblCellSpacing w:w="15" w:type="dxa"/>
        </w:trPr>
        <w:tc>
          <w:tcPr>
            <w:tcW w:w="1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31849B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Математика</w:t>
            </w:r>
          </w:p>
        </w:tc>
        <w:tc>
          <w:tcPr>
            <w:tcW w:w="6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3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5D5E2"/>
            <w:hideMark/>
          </w:tcPr>
          <w:p w:rsidR="00401E06" w:rsidRPr="005E57F2" w:rsidRDefault="00401E06" w:rsidP="0078607D">
            <w:pPr>
              <w:spacing w:before="100" w:beforeAutospacing="1" w:after="100" w:afterAutospacing="1" w:line="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</w:tbl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Причины затруднения при выполнении заданий: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результаты ОГЭ, необходимо обратить внимание на неумение обучающихся сопоставлять, сравнивать суждения, выявлять признаки, систематизировать факты, понятия, извлекать нужную информацию из источника, поэтому необходимо усилить внимание к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педагогов по формированию теоретических знаний по предметам.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Рассмотрев типичные ошибки по результатам анализа ОГЭ, можно обозначить следующие направления деятельности педагогического коллектива школы на 2020-2021 учебный год: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усовершенствовать систему </w:t>
      </w:r>
      <w:proofErr w:type="spell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уровня </w:t>
      </w:r>
      <w:proofErr w:type="spell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выпускных классов, на основе единых оценочных эталонов, федеральных и региональных;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использовать для подготовки учащихся открытые банки тестовых заданий;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совершенствовать методику преподавания с учетом требований итоговой аттестации;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разработать систему стимулов, позволяющих эффективно влиять на подготовку к ОГЭ, обеспечивающих достижения поставленных целей;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на заседаниях школьных МО регулярно обсуждать результаты проводимых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контрольных срезов и намечать пути по ликвидации возникающих у учащихся затруднений, обсудить результаты государственной итоговой аттестации выпускников 9 класса и разработать план устранения недостатков и обеспечить его выполнение в течение года.</w:t>
      </w:r>
    </w:p>
    <w:p w:rsidR="00401E06" w:rsidRPr="0014474C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4474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Выводы: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Школа обеспечила выполнение Федерального закона "Об образовании в Российской Федерации" от 29.12.2012 N 273 – ФЗ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Хорошая организация по подготовке и проведения государственных экзаменов позволила 96,4% выпускников получить государственные документы об образовании.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В целом следует констатировать, что основная масса выпускников освоила стандарт основного общего образования и получила положительный результат. 73,4 % всех выпускников подтвердили знания, полученные в школе, на экзаменах, что выше по сравнению с прошлым годом, однако 26,6% обучающихся на экзаменах не подтвердили свои знания, 4 обучающихся будут допущены к сдаче ГИА в дополнительные сроки в сентябре.</w:t>
      </w:r>
      <w:proofErr w:type="gramEnd"/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Несмотря на планомерную работу по подготовке и проведению государственной (итоговой) аттестации выпускников в формате ОГЭ на снижение качества сдачи ОГЭ повлияло: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-слабая организация педагогами исследовательской деятельности на уроке,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-не всеми педагогами учитывается психологический аспект обучения;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lastRenderedPageBreak/>
        <w:t>-нецелесообразность применяемых методов обучения. При организации повторения и обобщения учебного материала.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контроль качества </w:t>
      </w:r>
      <w:proofErr w:type="spell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9 класса выявил и ряд пробелов: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недостаточное стимулирование познавательной деятельности учащегося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отсутствие отдельной системы работы со средними, слабыми учащимися по развитию их интеллектуальных способностей;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недостаточный уровень работы по индивидуализации и дифференциации обучения учащихся.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Анализ результатов единого государственного экзамена позволил выявить определенные проблемы в подготовке и проведении ОГЭ и поставить на будущий учебный год следующие задачи: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Учителям </w:t>
      </w:r>
      <w:proofErr w:type="gram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5E57F2">
        <w:rPr>
          <w:rFonts w:ascii="Times New Roman" w:hAnsi="Times New Roman" w:cs="Times New Roman"/>
          <w:color w:val="000000"/>
          <w:sz w:val="28"/>
          <w:szCs w:val="28"/>
        </w:rPr>
        <w:t>редметникам принимать участие в мероприятиях различных уровней по усовершенствованию методики подготовки и проведения ОГЭ.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школы, учителям предметникам, классным руководителям усилить </w:t>
      </w:r>
      <w:proofErr w:type="gram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учащихся к государственной (итоговой) аттестации в форме ОГЭ.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Использовать тестовые технологии при проведении промежуточной аттестации в различных классах с учетом возрастных особенностей учащихся.</w:t>
      </w:r>
    </w:p>
    <w:p w:rsidR="00401E06" w:rsidRPr="0014474C" w:rsidRDefault="00401E06" w:rsidP="00401E0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4474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 на 2021 -2022учебный год: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подготовить выпускников к успешной сдаче ОГЭ: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100% выпускников должны получить аттестат об основном общем образовании, преодоление минимального порога баллов всеми выпускниками по всем предметам;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подготовки к ОГЭ по математике, русскому языку,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повышение доли участников, набравших более 50% от максимального количества баллов по всем предметам.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этого необходимо</w:t>
      </w:r>
      <w:r w:rsidRPr="005E57F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На заседаниях школьных МО проанализировать полученные результаты ОГЭ в 2021 году, выявить пробелы и составить план работы по подготовке к ГИА на 2021-2022 учебный год. Включить в план работы школьных методических объединений мероприятия, охватывающие все направления деятельности, связанные с организацией и проведением итоговой аттестации выпускников, разработать план устранения недостатков и обеспечить безусловное его выполнение в течение года.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На заседании предметных методических объединениях обсуждать результаты проводимых контрольных срезов и намечать пути по ликвидации возникающих у обучающихся затруднений.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Включить в план работы МО мероприятия по подготовке к ОГЭ, с одаренными и слабоуспевающими детьми.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Учителям-предметникам активизировать работу по мотивации выпускников на социализацию. Продумать и составить план подготовки выпускников к ОГЭ каждым учителем-предметником.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развитие </w:t>
      </w:r>
      <w:proofErr w:type="gramStart"/>
      <w:r w:rsidRPr="005E57F2">
        <w:rPr>
          <w:rFonts w:ascii="Times New Roman" w:hAnsi="Times New Roman" w:cs="Times New Roman"/>
          <w:color w:val="000000"/>
          <w:sz w:val="28"/>
          <w:szCs w:val="28"/>
        </w:rPr>
        <w:t>системы организации итоговой аттестации выпускников школы</w:t>
      </w:r>
      <w:proofErr w:type="gramEnd"/>
      <w:r w:rsidRPr="005E57F2">
        <w:rPr>
          <w:rFonts w:ascii="Times New Roman" w:hAnsi="Times New Roman" w:cs="Times New Roman"/>
          <w:color w:val="000000"/>
          <w:sz w:val="28"/>
          <w:szCs w:val="28"/>
        </w:rPr>
        <w:t xml:space="preserve"> в форме ОГЭ через повышение информационной компетенции участников образовательного процесса, практической отработки механизма ОГЭ с учителями и выпускниками школы.</w:t>
      </w:r>
    </w:p>
    <w:p w:rsidR="00401E06" w:rsidRPr="005E57F2" w:rsidRDefault="00401E06" w:rsidP="00401E0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7F2">
        <w:rPr>
          <w:rFonts w:ascii="Times New Roman" w:hAnsi="Times New Roman" w:cs="Times New Roman"/>
          <w:color w:val="000000"/>
          <w:sz w:val="28"/>
          <w:szCs w:val="28"/>
        </w:rPr>
        <w:t>С целью обеспечения систематичности подготовки выпускников к занятиям организовать тесное сотрудничество учителей-предметников, классных руководителей с учащимися, их родителями (законными представителями).</w:t>
      </w:r>
    </w:p>
    <w:p w:rsidR="00401E06" w:rsidRDefault="00401E06" w:rsidP="00401E0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23" w:rsidRDefault="00E73123">
      <w:bookmarkStart w:id="0" w:name="_GoBack"/>
      <w:bookmarkEnd w:id="0"/>
    </w:p>
    <w:sectPr w:rsidR="00E7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06"/>
    <w:rsid w:val="00401E06"/>
    <w:rsid w:val="00E7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</dc:creator>
  <cp:lastModifiedBy>ль</cp:lastModifiedBy>
  <cp:revision>1</cp:revision>
  <dcterms:created xsi:type="dcterms:W3CDTF">2021-10-12T11:09:00Z</dcterms:created>
  <dcterms:modified xsi:type="dcterms:W3CDTF">2021-10-12T11:09:00Z</dcterms:modified>
</cp:coreProperties>
</file>